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Лекция 2</w:t>
      </w:r>
    </w:p>
    <w:p w:rsidR="00AD53C5" w:rsidRPr="00421401" w:rsidRDefault="00130027" w:rsidP="00421401">
      <w:pPr>
        <w:pStyle w:val="paragraph"/>
        <w:spacing w:before="0" w:beforeAutospacing="0" w:after="0" w:afterAutospacing="0" w:line="360" w:lineRule="auto"/>
        <w:jc w:val="center"/>
        <w:textAlignment w:val="baseline"/>
        <w:rPr>
          <w:rStyle w:val="normaltextrun"/>
          <w:b/>
          <w:bCs/>
          <w:sz w:val="32"/>
          <w:szCs w:val="32"/>
        </w:rPr>
      </w:pPr>
      <w:r w:rsidRPr="00421401">
        <w:rPr>
          <w:rStyle w:val="normaltextrun"/>
          <w:b/>
          <w:bCs/>
          <w:sz w:val="32"/>
          <w:szCs w:val="32"/>
        </w:rPr>
        <w:t>Охрана объектов промышленной собственности</w:t>
      </w:r>
      <w:r w:rsidR="00AD53C5" w:rsidRPr="00421401">
        <w:rPr>
          <w:rStyle w:val="normaltextrun"/>
          <w:b/>
          <w:bCs/>
          <w:sz w:val="32"/>
          <w:szCs w:val="32"/>
        </w:rPr>
        <w:t xml:space="preserve"> по закону РФ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1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Объекты ИС с точки зрения права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Коммерческая тайна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Секрет производства (ноу-хау)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4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Выбор правовой формы охраны объектов ИС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Style w:val="eop"/>
          <w:sz w:val="28"/>
          <w:szCs w:val="28"/>
        </w:rPr>
      </w:pPr>
      <w:r>
        <w:rPr>
          <w:rStyle w:val="pagebreaktextspan"/>
          <w:rFonts w:ascii="Segoe UI" w:hAnsi="Segoe UI" w:cs="Segoe UI"/>
          <w:color w:val="666666"/>
          <w:sz w:val="18"/>
          <w:szCs w:val="18"/>
          <w:shd w:val="clear" w:color="auto" w:fill="FFFFFF"/>
        </w:rPr>
        <w:t>Разрыв страницы</w:t>
      </w:r>
      <w:r>
        <w:rPr>
          <w:rStyle w:val="eop"/>
          <w:sz w:val="28"/>
          <w:szCs w:val="28"/>
        </w:rPr>
        <w:t> </w:t>
      </w:r>
    </w:p>
    <w:p w:rsidR="00421401" w:rsidRDefault="00421401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</w:p>
    <w:p w:rsidR="00130027" w:rsidRPr="007416E2" w:rsidRDefault="00130027" w:rsidP="007416E2">
      <w:pPr>
        <w:pStyle w:val="paragraph"/>
        <w:numPr>
          <w:ilvl w:val="1"/>
          <w:numId w:val="4"/>
        </w:numPr>
        <w:spacing w:before="0" w:beforeAutospacing="0" w:after="0" w:afterAutospacing="0" w:line="360" w:lineRule="auto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7416E2">
        <w:rPr>
          <w:rStyle w:val="normaltextrun"/>
          <w:b/>
          <w:bCs/>
          <w:sz w:val="28"/>
          <w:szCs w:val="28"/>
        </w:rPr>
        <w:t>Объекты ИС с точки зрения права.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  <w:r>
        <w:rPr>
          <w:rStyle w:val="normaltextrun"/>
          <w:sz w:val="28"/>
          <w:szCs w:val="28"/>
        </w:rPr>
        <w:t>Разные объекты интеллектуальной собственности  (в данном случае речь идет об объектах патентного права) с точки зрения права имеют ряд общих черт, отметим их: [Разъяснение: интеллектуальные права  на изобретения, полезные модели, промышленные образцы являются патентными правами].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5"/>
        </w:numPr>
        <w:spacing w:before="0" w:beforeAutospacing="0" w:after="0" w:afterAutospacing="0" w:line="360" w:lineRule="auto"/>
        <w:ind w:left="0" w:firstLine="709"/>
        <w:textAlignment w:val="baseline"/>
      </w:pPr>
      <w:r>
        <w:rPr>
          <w:rStyle w:val="normaltextrun"/>
          <w:b/>
          <w:bCs/>
          <w:sz w:val="28"/>
          <w:szCs w:val="28"/>
        </w:rPr>
        <w:t>Действие исключительного права на изобретение, полезную, модель, промышленный </w:t>
      </w:r>
      <w:r>
        <w:rPr>
          <w:rStyle w:val="contextualspellingandgrammarerror"/>
          <w:b/>
          <w:bCs/>
          <w:sz w:val="28"/>
          <w:szCs w:val="28"/>
        </w:rPr>
        <w:t>образец  ограничено</w:t>
      </w:r>
      <w:r>
        <w:rPr>
          <w:rStyle w:val="normaltextrun"/>
          <w:b/>
          <w:bCs/>
          <w:sz w:val="28"/>
          <w:szCs w:val="28"/>
        </w:rPr>
        <w:t>: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6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территорией, </w:t>
      </w:r>
      <w:r>
        <w:rPr>
          <w:rStyle w:val="normaltextrun"/>
          <w:sz w:val="28"/>
          <w:szCs w:val="28"/>
        </w:rPr>
        <w:t>(патент действует на территории той страны (или стран), которая (которые) его (их) выдала). Например, если имеется патент РФ на изобретение, то этот патент будет действовать только на территории РФ.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7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определённым сроком действия</w:t>
      </w:r>
      <w:r>
        <w:rPr>
          <w:rStyle w:val="normaltextrun"/>
          <w:sz w:val="28"/>
          <w:szCs w:val="28"/>
        </w:rPr>
        <w:t>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(патент на </w:t>
      </w:r>
      <w:r>
        <w:rPr>
          <w:rStyle w:val="normaltextrun"/>
          <w:b/>
          <w:bCs/>
          <w:sz w:val="28"/>
          <w:szCs w:val="28"/>
        </w:rPr>
        <w:t>изобретение</w:t>
      </w:r>
      <w:r>
        <w:rPr>
          <w:rStyle w:val="normaltextrun"/>
          <w:sz w:val="28"/>
          <w:szCs w:val="28"/>
        </w:rPr>
        <w:t> действует - </w:t>
      </w:r>
      <w:r>
        <w:rPr>
          <w:rStyle w:val="normaltextrun"/>
          <w:b/>
          <w:bCs/>
          <w:sz w:val="28"/>
          <w:szCs w:val="28"/>
        </w:rPr>
        <w:t>20</w:t>
      </w:r>
      <w:r>
        <w:rPr>
          <w:rStyle w:val="normaltextrun"/>
          <w:sz w:val="28"/>
          <w:szCs w:val="28"/>
        </w:rPr>
        <w:t xml:space="preserve"> лет со дня подачи заявки в федеральный орган исполнительной власти (федеральная служба по интеллектуальной собственности). Патенты на изобретения, относящиеся к лекарственному средству, пестициду или агрохимикатам действуют -  25 лет; </w:t>
      </w:r>
      <w:r w:rsidR="00A83B31">
        <w:rPr>
          <w:rStyle w:val="normaltextrun"/>
          <w:sz w:val="28"/>
          <w:szCs w:val="28"/>
        </w:rPr>
        <w:t>п</w:t>
      </w:r>
      <w:r w:rsidR="00A83B31" w:rsidRPr="00A83B31">
        <w:rPr>
          <w:rStyle w:val="normaltextrun"/>
          <w:sz w:val="28"/>
          <w:szCs w:val="28"/>
        </w:rPr>
        <w:t>атенты на полезную модель действуют 10 лет (продление не предусмотрено)</w:t>
      </w:r>
      <w:r w:rsidR="00A83B31">
        <w:rPr>
          <w:rStyle w:val="normaltextrun"/>
          <w:sz w:val="28"/>
          <w:szCs w:val="28"/>
        </w:rPr>
        <w:t xml:space="preserve">, патенты </w:t>
      </w:r>
      <w:r>
        <w:rPr>
          <w:rStyle w:val="normaltextrun"/>
          <w:sz w:val="28"/>
          <w:szCs w:val="28"/>
        </w:rPr>
        <w:t>на промышленный образец – 5 лет с возможностью продления на 5 лет, но не более 25 лет; свидетельство на товарный знак –</w:t>
      </w:r>
      <w:r>
        <w:rPr>
          <w:rStyle w:val="normaltextrun"/>
          <w:sz w:val="28"/>
          <w:szCs w:val="28"/>
        </w:rPr>
        <w:lastRenderedPageBreak/>
        <w:t> 10 лет с возможностью продления через каждые 10 лет (максимальный срок действия не ограничен; патент на полезную модель – 10 лет.)</w:t>
      </w:r>
      <w:r>
        <w:rPr>
          <w:rStyle w:val="normaltextrun"/>
          <w:b/>
          <w:bCs/>
          <w:sz w:val="28"/>
          <w:szCs w:val="28"/>
        </w:rPr>
        <w:t>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textAlignment w:val="baseline"/>
      </w:pPr>
      <w:r>
        <w:rPr>
          <w:rStyle w:val="normaltextrun"/>
          <w:sz w:val="28"/>
          <w:szCs w:val="28"/>
        </w:rPr>
        <w:t>Права носят </w:t>
      </w:r>
      <w:r>
        <w:rPr>
          <w:rStyle w:val="normaltextrun"/>
          <w:sz w:val="28"/>
          <w:szCs w:val="28"/>
          <w:u w:val="single"/>
        </w:rPr>
        <w:t>абсолютный </w:t>
      </w:r>
      <w:r>
        <w:rPr>
          <w:rStyle w:val="normaltextrun"/>
          <w:sz w:val="28"/>
          <w:szCs w:val="28"/>
        </w:rPr>
        <w:t>характер;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9"/>
        </w:numPr>
        <w:spacing w:before="0" w:beforeAutospacing="0" w:after="0" w:afterAutospacing="0" w:line="360" w:lineRule="auto"/>
        <w:ind w:left="0" w:firstLine="709"/>
        <w:textAlignment w:val="baseline"/>
      </w:pPr>
      <w:r>
        <w:rPr>
          <w:rStyle w:val="normaltextrun"/>
          <w:sz w:val="28"/>
          <w:szCs w:val="28"/>
        </w:rPr>
        <w:t>Права являются </w:t>
      </w:r>
      <w:r>
        <w:rPr>
          <w:rStyle w:val="normaltextrun"/>
          <w:sz w:val="28"/>
          <w:szCs w:val="28"/>
          <w:u w:val="single"/>
        </w:rPr>
        <w:t>исключительными</w:t>
      </w:r>
      <w:r>
        <w:rPr>
          <w:rStyle w:val="normaltextrun"/>
          <w:sz w:val="28"/>
          <w:szCs w:val="28"/>
        </w:rPr>
        <w:t> по отношению ко всем третьим лицам;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10"/>
        </w:numPr>
        <w:spacing w:before="0" w:beforeAutospacing="0" w:after="0" w:afterAutospacing="0" w:line="360" w:lineRule="auto"/>
        <w:ind w:left="0" w:firstLine="709"/>
        <w:jc w:val="both"/>
        <w:textAlignment w:val="baseline"/>
      </w:pPr>
      <w:r>
        <w:rPr>
          <w:rStyle w:val="normaltextrun"/>
          <w:sz w:val="28"/>
          <w:szCs w:val="28"/>
        </w:rPr>
        <w:t>По истечении определённого срока, установленного законом, объекты ИС становятся общественным достоянием, и любое лицо может их использовать по своему усмотрению.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Абсолютный характер права состоит в том, что оно действует против любого лица, желающего воспользоваться объектом ИС без разрешения владельца.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Под исключительными</w:t>
      </w:r>
      <w:r>
        <w:rPr>
          <w:rStyle w:val="normaltextrun"/>
          <w:b/>
          <w:bCs/>
          <w:sz w:val="28"/>
          <w:szCs w:val="28"/>
        </w:rPr>
        <w:t> правами</w:t>
      </w:r>
      <w:r>
        <w:rPr>
          <w:rStyle w:val="normaltextrun"/>
          <w:sz w:val="28"/>
          <w:szCs w:val="28"/>
        </w:rPr>
        <w:t> понимаются субъективные права, обеспечивающие их владельцам все действия, разрешенные законом, с одновременным запретом всем третьим лицам совершать подобные действия без разрешения владельца.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Принципиально различающиеся результаты интеллектуальной деятельности охраняются разными нормами гражданского законодательства:</w:t>
      </w:r>
      <w:r>
        <w:rPr>
          <w:rStyle w:val="eop"/>
          <w:sz w:val="28"/>
          <w:szCs w:val="28"/>
        </w:rPr>
        <w:t> </w:t>
      </w:r>
    </w:p>
    <w:p w:rsidR="003C33D8" w:rsidRPr="003C33D8" w:rsidRDefault="003C33D8" w:rsidP="003C33D8">
      <w:pPr>
        <w:pStyle w:val="a7"/>
        <w:numPr>
          <w:ilvl w:val="0"/>
          <w:numId w:val="48"/>
        </w:numPr>
        <w:spacing w:line="360" w:lineRule="auto"/>
        <w:ind w:left="714" w:hanging="357"/>
        <w:jc w:val="both"/>
        <w:rPr>
          <w:rStyle w:val="normaltextrun"/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3D8">
        <w:rPr>
          <w:rStyle w:val="normaltextrun"/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предлагается охранять художественные произведения (произведения литературы, искусства, науки), то применяются нормы авторского права. </w:t>
      </w:r>
      <w:r w:rsidRPr="003C33D8">
        <w:rPr>
          <w:rStyle w:val="normaltextrun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Pr="003C33D8">
        <w:rPr>
          <w:rStyle w:val="normaltextrun"/>
          <w:rFonts w:ascii="Times New Roman" w:eastAsia="Times New Roman" w:hAnsi="Times New Roman" w:cs="Times New Roman"/>
          <w:sz w:val="28"/>
          <w:szCs w:val="28"/>
          <w:lang w:eastAsia="ru-RU"/>
        </w:rPr>
        <w:t>Как мы отмечали в первой лекции, для характеристики произведения как объекта авторского права важным условием является не только форма, но и содержание. В литературе подчеркивается органическое единство содержания и формы произведения. При этом определяющее значение имеет содержание</w:t>
      </w:r>
      <w:r w:rsidRPr="003C33D8">
        <w:rPr>
          <w:rStyle w:val="normaltextrun"/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  <w:r w:rsidRPr="003C33D8">
        <w:rPr>
          <w:rStyle w:val="normaltextrun"/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0027" w:rsidRDefault="003C33D8" w:rsidP="00421401">
      <w:pPr>
        <w:pStyle w:val="paragraph"/>
        <w:numPr>
          <w:ilvl w:val="0"/>
          <w:numId w:val="48"/>
        </w:numPr>
        <w:spacing w:before="0" w:beforeAutospacing="0" w:after="0" w:afterAutospacing="0" w:line="360" w:lineRule="auto"/>
        <w:jc w:val="both"/>
        <w:textAlignment w:val="baseline"/>
      </w:pPr>
      <w:r>
        <w:rPr>
          <w:rStyle w:val="normaltextrun"/>
          <w:sz w:val="28"/>
          <w:szCs w:val="28"/>
        </w:rPr>
        <w:t>Е</w:t>
      </w:r>
      <w:r w:rsidR="00130027">
        <w:rPr>
          <w:rStyle w:val="normaltextrun"/>
          <w:sz w:val="28"/>
          <w:szCs w:val="28"/>
        </w:rPr>
        <w:t>сли </w:t>
      </w:r>
      <w:r w:rsidR="00130027">
        <w:rPr>
          <w:rStyle w:val="normaltextrun"/>
          <w:b/>
          <w:bCs/>
          <w:sz w:val="28"/>
          <w:szCs w:val="28"/>
        </w:rPr>
        <w:t>особенность</w:t>
      </w:r>
      <w:r w:rsidR="00130027">
        <w:rPr>
          <w:rStyle w:val="normaltextrun"/>
          <w:sz w:val="28"/>
          <w:szCs w:val="28"/>
        </w:rPr>
        <w:t> объекта интеллектуальной собственности определяется </w:t>
      </w:r>
      <w:r w:rsidR="00130027">
        <w:rPr>
          <w:rStyle w:val="normaltextrun"/>
          <w:b/>
          <w:bCs/>
          <w:sz w:val="28"/>
          <w:szCs w:val="28"/>
        </w:rPr>
        <w:t>содержанием </w:t>
      </w:r>
      <w:r w:rsidR="00130027">
        <w:rPr>
          <w:rStyle w:val="normaltextrun"/>
          <w:sz w:val="28"/>
          <w:szCs w:val="28"/>
        </w:rPr>
        <w:t>полученного результата – то отношения регулируются нормами </w:t>
      </w:r>
      <w:r w:rsidR="00130027">
        <w:rPr>
          <w:rStyle w:val="normaltextrun"/>
          <w:b/>
          <w:bCs/>
          <w:sz w:val="28"/>
          <w:szCs w:val="28"/>
        </w:rPr>
        <w:t>патентного права.</w:t>
      </w:r>
      <w:r w:rsidR="00130027"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По нормам патентного права защищаются объекты промышленной собственности:</w:t>
      </w:r>
      <w:r>
        <w:rPr>
          <w:rStyle w:val="eop"/>
          <w:sz w:val="28"/>
          <w:szCs w:val="28"/>
        </w:rPr>
        <w:t> </w:t>
      </w:r>
    </w:p>
    <w:p w:rsidR="00130027" w:rsidRDefault="007416E2" w:rsidP="00421401">
      <w:pPr>
        <w:pStyle w:val="paragraph"/>
        <w:numPr>
          <w:ilvl w:val="0"/>
          <w:numId w:val="13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И</w:t>
      </w:r>
      <w:r w:rsidR="00130027">
        <w:rPr>
          <w:rStyle w:val="normaltextrun"/>
          <w:sz w:val="28"/>
          <w:szCs w:val="28"/>
        </w:rPr>
        <w:t>зобретения,</w:t>
      </w:r>
      <w:r w:rsidR="00130027">
        <w:rPr>
          <w:rStyle w:val="eop"/>
          <w:sz w:val="28"/>
          <w:szCs w:val="28"/>
        </w:rPr>
        <w:t> </w:t>
      </w:r>
    </w:p>
    <w:p w:rsidR="00130027" w:rsidRDefault="007416E2" w:rsidP="00421401">
      <w:pPr>
        <w:pStyle w:val="paragraph"/>
        <w:numPr>
          <w:ilvl w:val="0"/>
          <w:numId w:val="14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</w:t>
      </w:r>
      <w:r w:rsidR="00130027">
        <w:rPr>
          <w:rStyle w:val="normaltextrun"/>
          <w:sz w:val="28"/>
          <w:szCs w:val="28"/>
        </w:rPr>
        <w:t>олезные модели,</w:t>
      </w:r>
      <w:r w:rsidR="00130027">
        <w:rPr>
          <w:rStyle w:val="eop"/>
          <w:sz w:val="28"/>
          <w:szCs w:val="28"/>
        </w:rPr>
        <w:t> </w:t>
      </w:r>
    </w:p>
    <w:p w:rsidR="00130027" w:rsidRDefault="007416E2" w:rsidP="00421401">
      <w:pPr>
        <w:pStyle w:val="paragraph"/>
        <w:numPr>
          <w:ilvl w:val="0"/>
          <w:numId w:val="15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</w:t>
      </w:r>
      <w:r w:rsidR="00130027">
        <w:rPr>
          <w:rStyle w:val="normaltextrun"/>
          <w:sz w:val="28"/>
          <w:szCs w:val="28"/>
        </w:rPr>
        <w:t>ромышленные образцы.</w:t>
      </w:r>
      <w:r w:rsidR="00130027"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Для получения охраны таких объектов требуются: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16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оформление и подача заявки в федеральную службу по интеллектуальной собственности (Роспатент),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17"/>
        </w:numPr>
        <w:spacing w:before="0" w:beforeAutospacing="0" w:after="0" w:afterAutospacing="0" w:line="360" w:lineRule="auto"/>
        <w:ind w:left="0" w:firstLine="709"/>
        <w:textAlignment w:val="baseline"/>
      </w:pPr>
      <w:r>
        <w:rPr>
          <w:rStyle w:val="normaltextrun"/>
          <w:sz w:val="28"/>
          <w:szCs w:val="28"/>
        </w:rPr>
        <w:t>экспертиза на соответствие условиям </w:t>
      </w:r>
      <w:proofErr w:type="spellStart"/>
      <w:r>
        <w:rPr>
          <w:rStyle w:val="spellingerror"/>
          <w:sz w:val="28"/>
          <w:szCs w:val="28"/>
        </w:rPr>
        <w:t>охраноспособности</w:t>
      </w:r>
      <w:proofErr w:type="spellEnd"/>
      <w:r>
        <w:rPr>
          <w:rStyle w:val="normaltextrun"/>
          <w:sz w:val="28"/>
          <w:szCs w:val="28"/>
        </w:rPr>
        <w:t>,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18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регистрация объектов в установленном порядке,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19"/>
        </w:numPr>
        <w:spacing w:before="0" w:beforeAutospacing="0" w:after="0" w:afterAutospacing="0" w:line="360" w:lineRule="auto"/>
        <w:ind w:left="0" w:firstLine="709"/>
        <w:textAlignment w:val="baseline"/>
      </w:pPr>
      <w:r>
        <w:rPr>
          <w:rStyle w:val="normaltextrun"/>
          <w:sz w:val="28"/>
          <w:szCs w:val="28"/>
        </w:rPr>
        <w:t>наличие правоустанавливающего документа.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Т. о., в сфере интеллектуальной собственности действуют два различных регулирования: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20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патентное право,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21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авторское право.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130027" w:rsidRDefault="00130027" w:rsidP="007416E2">
      <w:pPr>
        <w:pStyle w:val="paragraph"/>
        <w:numPr>
          <w:ilvl w:val="0"/>
          <w:numId w:val="20"/>
        </w:numPr>
        <w:spacing w:before="0" w:beforeAutospacing="0" w:after="0" w:afterAutospacing="0" w:line="360" w:lineRule="auto"/>
        <w:jc w:val="center"/>
        <w:textAlignment w:val="baseline"/>
        <w:rPr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Коммерческая тайна</w:t>
      </w:r>
    </w:p>
    <w:p w:rsidR="00130027" w:rsidRDefault="00130027" w:rsidP="00921B64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Особое место в отношениях заняли объекты, представляющие собой коммерческую тайну и секреты производства (ноу-хау). Правовую основу для этих объектов составляют: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23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гражданское законодательство,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24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уголовное законодательство,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25"/>
        </w:numPr>
        <w:spacing w:before="0" w:beforeAutospacing="0" w:after="0" w:afterAutospacing="0" w:line="360" w:lineRule="auto"/>
        <w:ind w:left="0" w:firstLine="709"/>
        <w:textAlignment w:val="baseline"/>
      </w:pPr>
      <w:r>
        <w:rPr>
          <w:rStyle w:val="normaltextrun"/>
          <w:sz w:val="28"/>
          <w:szCs w:val="28"/>
        </w:rPr>
        <w:t>законодательство о пресечении недобросовестной конкуренции.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Коммерческая тайна </w:t>
      </w:r>
      <w:r>
        <w:rPr>
          <w:rStyle w:val="contextualspellingandgrammarerror"/>
          <w:sz w:val="28"/>
          <w:szCs w:val="28"/>
        </w:rPr>
        <w:t>- это</w:t>
      </w:r>
      <w:r>
        <w:rPr>
          <w:rStyle w:val="normaltextrun"/>
          <w:sz w:val="28"/>
          <w:szCs w:val="28"/>
        </w:rPr>
        <w:t> охраняемое законом право предприятия на ограниченный доступ к: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26"/>
        </w:numPr>
        <w:spacing w:before="0" w:beforeAutospacing="0" w:after="0" w:afterAutospacing="0" w:line="360" w:lineRule="auto"/>
        <w:ind w:left="0" w:firstLine="709"/>
        <w:textAlignment w:val="baseline"/>
      </w:pPr>
      <w:r>
        <w:rPr>
          <w:rStyle w:val="normaltextrun"/>
          <w:b/>
          <w:bCs/>
          <w:sz w:val="28"/>
          <w:szCs w:val="28"/>
        </w:rPr>
        <w:t>Информации </w:t>
      </w:r>
      <w:r>
        <w:rPr>
          <w:rStyle w:val="normaltextrun"/>
          <w:sz w:val="28"/>
          <w:szCs w:val="28"/>
        </w:rPr>
        <w:t>по: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производственным,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textAlignment w:val="baseline"/>
      </w:pPr>
      <w:r>
        <w:rPr>
          <w:rStyle w:val="normaltextrun"/>
          <w:sz w:val="28"/>
          <w:szCs w:val="28"/>
        </w:rPr>
        <w:t>техническим,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экономическим,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27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contextualspellingandgrammarerror"/>
          <w:sz w:val="28"/>
          <w:szCs w:val="28"/>
        </w:rPr>
        <w:lastRenderedPageBreak/>
        <w:t>организационным  и</w:t>
      </w:r>
      <w:r>
        <w:rPr>
          <w:rStyle w:val="normaltextrun"/>
          <w:sz w:val="28"/>
          <w:szCs w:val="28"/>
        </w:rPr>
        <w:t> другим хозяйственным операциям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28"/>
        </w:numPr>
        <w:spacing w:before="0" w:beforeAutospacing="0" w:after="0" w:afterAutospacing="0" w:line="360" w:lineRule="auto"/>
        <w:ind w:left="0" w:firstLine="709"/>
        <w:textAlignment w:val="baseline"/>
        <w:rPr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К документации по ним.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130027" w:rsidRDefault="00130027" w:rsidP="007416E2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Другими словами, коммерческая тайна – это режим конфиденциальности информации, позволяющей ее обладателю при существующих или возможных обстоятельствах увеличить доходы, избежать неоправданных рисков, сохранить положение на рынке товаров, работ, услуг или получить иную коммерческую выгоду.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Итак, </w:t>
      </w:r>
      <w:r>
        <w:rPr>
          <w:rStyle w:val="contextualspellingandgrammarerror"/>
          <w:sz w:val="28"/>
          <w:szCs w:val="28"/>
        </w:rPr>
        <w:t>отметим,  Информация</w:t>
      </w:r>
      <w:r>
        <w:rPr>
          <w:rStyle w:val="normaltextrun"/>
          <w:sz w:val="28"/>
          <w:szCs w:val="28"/>
        </w:rPr>
        <w:t>, составляющая коммерческую тайну (секрет производства) – ст.3  Федерального закона № 98-ФЗ, - это: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29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Сведения любого характера (производственные, технические, экономические, организационные и другие),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0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В том числе о результатах интеллектуальной деятельности в научно-технической сфере, а также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1"/>
        </w:numPr>
        <w:spacing w:before="0" w:beforeAutospacing="0" w:after="0" w:afterAutospacing="0" w:line="360" w:lineRule="auto"/>
        <w:ind w:left="0" w:firstLine="709"/>
        <w:jc w:val="both"/>
        <w:textAlignment w:val="baseline"/>
      </w:pPr>
      <w:r>
        <w:rPr>
          <w:rStyle w:val="normaltextrun"/>
          <w:sz w:val="28"/>
          <w:szCs w:val="28"/>
        </w:rPr>
        <w:t>Сведения о способах осуществления профессиональной деятельности.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Эти сведения имеют  действительную или потенциальную коммерческую ценность  в силу неизвестности 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  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Примеры. Объектом коммерческой </w:t>
      </w:r>
      <w:r>
        <w:rPr>
          <w:rStyle w:val="contextualspellingandgrammarerror"/>
          <w:sz w:val="28"/>
          <w:szCs w:val="28"/>
        </w:rPr>
        <w:t>тайны  (</w:t>
      </w:r>
      <w:r>
        <w:rPr>
          <w:rStyle w:val="normaltextrun"/>
          <w:sz w:val="28"/>
          <w:szCs w:val="28"/>
        </w:rPr>
        <w:t>КТ) может быть любой РИД,</w:t>
      </w:r>
      <w:r>
        <w:rPr>
          <w:rStyle w:val="normaltextrun"/>
          <w:b/>
          <w:bCs/>
          <w:sz w:val="28"/>
          <w:szCs w:val="28"/>
        </w:rPr>
        <w:t> </w:t>
      </w:r>
      <w:r>
        <w:rPr>
          <w:rStyle w:val="normaltextrun"/>
          <w:sz w:val="28"/>
          <w:szCs w:val="28"/>
        </w:rPr>
        <w:t>например: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чертеж,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2"/>
        </w:numPr>
        <w:spacing w:before="0" w:beforeAutospacing="0" w:after="0" w:afterAutospacing="0" w:line="360" w:lineRule="auto"/>
        <w:ind w:left="0" w:firstLine="709"/>
        <w:jc w:val="both"/>
        <w:textAlignment w:val="baseline"/>
      </w:pPr>
      <w:r>
        <w:rPr>
          <w:rStyle w:val="normaltextrun"/>
          <w:sz w:val="28"/>
          <w:szCs w:val="28"/>
        </w:rPr>
        <w:t>технологический процесс,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3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клиентская база,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3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рецептура,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3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статистический расчет,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3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инструкция,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3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методика анализ рынка,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4"/>
        </w:numPr>
        <w:spacing w:before="0" w:beforeAutospacing="0" w:after="0" w:afterAutospacing="0" w:line="360" w:lineRule="auto"/>
        <w:ind w:left="0" w:firstLine="709"/>
        <w:jc w:val="both"/>
        <w:textAlignment w:val="baseline"/>
      </w:pPr>
      <w:r>
        <w:rPr>
          <w:rStyle w:val="normaltextrun"/>
          <w:sz w:val="28"/>
          <w:szCs w:val="28"/>
        </w:rPr>
        <w:t>контракт с работником.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lastRenderedPageBreak/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Право на отнесение информации к информации, составляющей коммерческую тайну, и на определение перечня и состава такой информации принадлежит обладателю такой информации с учетом положений Федерального закона № 98-ФЗ от 29 июля 2004 г. «О коммерческой тайне», в редакции от 24.07.2007г.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Однако в Законе № 98-ФЗ от 29 июля 2004 (ст. 5</w:t>
      </w:r>
      <w:r>
        <w:rPr>
          <w:rStyle w:val="contextualspellingandgrammarerror"/>
          <w:sz w:val="28"/>
          <w:szCs w:val="28"/>
        </w:rPr>
        <w:t>)  указаны</w:t>
      </w:r>
      <w:r>
        <w:rPr>
          <w:rStyle w:val="normaltextrun"/>
          <w:sz w:val="28"/>
          <w:szCs w:val="28"/>
        </w:rPr>
        <w:t> сведения, которые не могут составлять коммерческую тайну.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Режим коммерческой тайны не может быть установлен лицами, осуществляющими предпринимательскую деятельность, в отношении следующих сведений, например: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1) сведений, содержащихся в учредительных документах юридического лица, документах, подтверждающих факт внесения записей о юридических лицах и об индивидуальных предпринимателях в соответствующие государственные реестры;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2) сведений, содержащихся в документах, дающих право на осуществление предпринимательской деятельности;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3) сведений,</w:t>
      </w:r>
      <w:r>
        <w:rPr>
          <w:rStyle w:val="normaltextrun"/>
          <w:b/>
          <w:bCs/>
          <w:sz w:val="28"/>
          <w:szCs w:val="28"/>
        </w:rPr>
        <w:t> </w:t>
      </w:r>
      <w:r>
        <w:rPr>
          <w:rStyle w:val="normaltextrun"/>
          <w:sz w:val="28"/>
          <w:szCs w:val="28"/>
        </w:rPr>
        <w:t>о составе имущества государственного или муниципального унитарного предприятия, государственного учреждения и об использовании ими средств соответствующих бюджетов;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4) о загрязнении окружающей среды, состоянии противопожарной безопасности, санитарно-эпидемиологической и радиационной обстановке, безопасности пищевых продуктов и других факторах, оказывающих негативное воздействие на обеспечение безопасного функционирования производственных объектов, безопасности каждого гражданина и безопасности населения в целом;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5) сведений о численности, о составе работников, о системе оплаты труда, об условиях труда, в том числе об охране труда, о показателях производственного травматизма и профессиональной заболеваемости, и о наличии свободных рабочих мест;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6) сведений о задолженности работодателей по выплате заработной платы и по иным социальным выплатам;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7) сведений о нарушениях законодательства Российской Федерации и фактах привлечения к ответственности за совершение этих нарушений</w:t>
      </w:r>
      <w:r>
        <w:rPr>
          <w:rStyle w:val="normaltextrun"/>
          <w:b/>
          <w:bCs/>
          <w:sz w:val="28"/>
          <w:szCs w:val="28"/>
        </w:rPr>
        <w:t>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8) об условиях конкурсов или аукционов по приватизации объектов государственной или муниципальной собственности;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9) о размерах и структуре доходов некоммерческих организаций, о размерах и составе их имущества, об их расходах, о численности и об оплате труда их работников, об использовании безвозмездного труда граждан в деятельности некоммерческой организации;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10) о перечне лиц, имеющих право действовать без доверенности от имени юридического лица;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 xml:space="preserve">11) </w:t>
      </w:r>
      <w:r w:rsidR="009C68F2">
        <w:rPr>
          <w:rStyle w:val="normaltextrun"/>
          <w:sz w:val="28"/>
          <w:szCs w:val="28"/>
        </w:rPr>
        <w:t xml:space="preserve">сведения, </w:t>
      </w:r>
      <w:bookmarkStart w:id="0" w:name="_GoBack"/>
      <w:bookmarkEnd w:id="0"/>
      <w:r>
        <w:rPr>
          <w:rStyle w:val="normaltextrun"/>
          <w:sz w:val="28"/>
          <w:szCs w:val="28"/>
        </w:rPr>
        <w:t>обязательность раскрытия которых или </w:t>
      </w:r>
      <w:r w:rsidR="007416E2">
        <w:rPr>
          <w:rStyle w:val="contextualspellingandgrammarerror"/>
          <w:sz w:val="28"/>
          <w:szCs w:val="28"/>
        </w:rPr>
        <w:t>недопустимость ограничения доступа,</w:t>
      </w:r>
      <w:r>
        <w:rPr>
          <w:rStyle w:val="normaltextrun"/>
          <w:sz w:val="28"/>
          <w:szCs w:val="28"/>
        </w:rPr>
        <w:t> к которым установлена иными федеральными законами.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b/>
          <w:bCs/>
          <w:sz w:val="28"/>
          <w:szCs w:val="28"/>
        </w:rPr>
        <w:t>Меры по охране конфиденциальности информации</w:t>
      </w:r>
      <w:r>
        <w:rPr>
          <w:rStyle w:val="normaltextrun"/>
          <w:sz w:val="28"/>
          <w:szCs w:val="28"/>
        </w:rPr>
        <w:t>, принимаемые ее обладателем, должны включать в себя (ст. </w:t>
      </w:r>
      <w:r>
        <w:rPr>
          <w:rStyle w:val="contextualspellingandgrammarerror"/>
          <w:sz w:val="28"/>
          <w:szCs w:val="28"/>
        </w:rPr>
        <w:t>10  98</w:t>
      </w:r>
      <w:r>
        <w:rPr>
          <w:rStyle w:val="normaltextrun"/>
          <w:sz w:val="28"/>
          <w:szCs w:val="28"/>
        </w:rPr>
        <w:t>-ФЗ):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5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sz w:val="28"/>
          <w:szCs w:val="28"/>
        </w:rPr>
        <w:t>определение перечня информации, составляющей коммерческую тайну;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6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sz w:val="28"/>
          <w:szCs w:val="28"/>
        </w:rPr>
        <w:t>ограничение доступа к информации, составляющей коммерческую тайну, путем установления порядка обращения с этой информацией и контроля за соблюдением такого порядка;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7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sz w:val="28"/>
          <w:szCs w:val="28"/>
        </w:rPr>
        <w:t>учет лиц, получивших доступ к информации, составляющей коммерческую тайну, и (или) лиц, которым такая информация была предоставлена или передана;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8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sz w:val="28"/>
          <w:szCs w:val="28"/>
        </w:rPr>
        <w:t>регулирование отношений по использованию информации, составляющей коммерческую тайну, работниками на основании трудовых договоров и контрагентами на основании гражданско-правовых договоров;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39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sz w:val="28"/>
          <w:szCs w:val="28"/>
        </w:rPr>
        <w:lastRenderedPageBreak/>
        <w:t>нанесение на материальные носители (документы), содержащие информацию, составляющую коммерческую тайну, грифа "Коммерческая тайна" с указанием обладателя этой информации (для юридических лиц - полное наименование и место нахождения, для индивидуальных предпринимателей - фамилия, имя, отчество гражданина, являющегося индивидуальным предпринимателем, и место жительства).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130027" w:rsidRDefault="00130027" w:rsidP="007416E2">
      <w:pPr>
        <w:pStyle w:val="paragraph"/>
        <w:numPr>
          <w:ilvl w:val="0"/>
          <w:numId w:val="40"/>
        </w:numPr>
        <w:spacing w:before="0" w:beforeAutospacing="0" w:after="0" w:afterAutospacing="0" w:line="360" w:lineRule="auto"/>
        <w:ind w:left="0" w:firstLine="709"/>
        <w:jc w:val="center"/>
        <w:textAlignment w:val="baseline"/>
        <w:rPr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Секрет производства (ноу-хау)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Секрет производства (в переводе с английского </w:t>
      </w:r>
      <w:r>
        <w:rPr>
          <w:rStyle w:val="normaltextrun"/>
          <w:sz w:val="28"/>
          <w:szCs w:val="28"/>
          <w:lang w:val="en-US"/>
        </w:rPr>
        <w:t>know</w:t>
      </w:r>
      <w:r>
        <w:rPr>
          <w:rStyle w:val="normaltextrun"/>
          <w:sz w:val="28"/>
          <w:szCs w:val="28"/>
        </w:rPr>
        <w:t>-</w:t>
      </w:r>
      <w:r>
        <w:rPr>
          <w:rStyle w:val="normaltextrun"/>
          <w:sz w:val="28"/>
          <w:szCs w:val="28"/>
          <w:lang w:val="en-US"/>
        </w:rPr>
        <w:t>how</w:t>
      </w:r>
      <w:r>
        <w:rPr>
          <w:rStyle w:val="normaltextrun"/>
          <w:sz w:val="28"/>
          <w:szCs w:val="28"/>
        </w:rPr>
        <w:t> - знать как).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Определение секрета производства дано в ст. </w:t>
      </w:r>
      <w:r>
        <w:rPr>
          <w:rStyle w:val="normaltextrun"/>
          <w:sz w:val="28"/>
          <w:szCs w:val="28"/>
          <w:u w:val="single"/>
        </w:rPr>
        <w:t>1465</w:t>
      </w:r>
      <w:r>
        <w:rPr>
          <w:rStyle w:val="normaltextrun"/>
          <w:sz w:val="28"/>
          <w:szCs w:val="28"/>
        </w:rPr>
        <w:t> части четвертой ГК РФ. Это определение совпадает с определением коммерческой тайны, данным в Федеральном законе п.2 ст.3 № 98 – </w:t>
      </w:r>
      <w:r>
        <w:rPr>
          <w:rStyle w:val="contextualspellingandgrammarerror"/>
          <w:sz w:val="28"/>
          <w:szCs w:val="28"/>
        </w:rPr>
        <w:t>ФЗ .</w:t>
      </w:r>
      <w:r>
        <w:rPr>
          <w:rStyle w:val="normaltextrun"/>
          <w:sz w:val="28"/>
          <w:szCs w:val="28"/>
        </w:rPr>
        <w:t>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Законодатель допускает в отношении одного и того же РИД возможность </w:t>
      </w:r>
      <w:r>
        <w:rPr>
          <w:rStyle w:val="contextualspellingandgrammarerror"/>
          <w:sz w:val="28"/>
          <w:szCs w:val="28"/>
        </w:rPr>
        <w:t>его  защиты</w:t>
      </w:r>
      <w:r>
        <w:rPr>
          <w:rStyle w:val="normaltextrun"/>
          <w:sz w:val="28"/>
          <w:szCs w:val="28"/>
        </w:rPr>
        <w:t> в качестве секрета производства и в качестве информации, имеющей статус коммерческой тайны.  Различие между секретом производства и информацией, составляющей коммерческую тайну, только в одном: секрет производства нужно оценивать и ставить на баланс в качестве нематериального актива, а информацию с грифом КТ – не нужно.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Обладателю секрета производства принадлежит исключительное право его использования (ст.1466).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отдельных случаях, когда предприятию выгодно увеличить свой уставной капитал, бывает предпочтительнее, чтобы РИД (результат интеллектуальной деятельности) имел статус секрета производства. В других случаях выгоднее, чтобы РИД имел статус информации, которая составляет коммерческую тайну, при этом смена статуса достигается действиями, выполняемыми внутри предприятия (выпуск соответствующего приказа по предприятию, процедура оценки и постановки на баланс в качестве нематериального актива НМА).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130027" w:rsidRDefault="00130027" w:rsidP="007416E2">
      <w:pPr>
        <w:pStyle w:val="paragraph"/>
        <w:numPr>
          <w:ilvl w:val="0"/>
          <w:numId w:val="41"/>
        </w:numPr>
        <w:spacing w:before="0" w:beforeAutospacing="0" w:after="0" w:afterAutospacing="0" w:line="360" w:lineRule="auto"/>
        <w:ind w:left="0" w:firstLine="709"/>
        <w:jc w:val="center"/>
        <w:textAlignment w:val="baseline"/>
        <w:rPr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Выбор правовой формы охраны объектов ИС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lastRenderedPageBreak/>
        <w:t>Для охраны объектов ИС важным является выбор формы правовой охраны.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Например: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1</w:t>
      </w:r>
      <w:r>
        <w:rPr>
          <w:rStyle w:val="normaltextrun"/>
          <w:b/>
          <w:bCs/>
          <w:sz w:val="28"/>
          <w:szCs w:val="28"/>
        </w:rPr>
        <w:t>. Выбрана патентная форма охраны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Если ориентироваться </w:t>
      </w:r>
      <w:r>
        <w:rPr>
          <w:rStyle w:val="normaltextrun"/>
          <w:b/>
          <w:bCs/>
          <w:sz w:val="28"/>
          <w:szCs w:val="28"/>
        </w:rPr>
        <w:t>только на российский рынок,</w:t>
      </w:r>
      <w:r>
        <w:rPr>
          <w:rStyle w:val="normaltextrun"/>
          <w:sz w:val="28"/>
          <w:szCs w:val="28"/>
        </w:rPr>
        <w:t> то такая форма </w:t>
      </w:r>
      <w:r>
        <w:rPr>
          <w:rStyle w:val="contextualspellingandgrammarerror"/>
          <w:sz w:val="28"/>
          <w:szCs w:val="28"/>
        </w:rPr>
        <w:t>охраны  стоит</w:t>
      </w:r>
      <w:r>
        <w:rPr>
          <w:rStyle w:val="normaltextrun"/>
          <w:sz w:val="28"/>
          <w:szCs w:val="28"/>
        </w:rPr>
        <w:t> недорого, но при этом раскрывается суть разработки. (Печальный опыт российских компаний, которые вышли на рынок с программными продуктами, но не выдержали конкуренции со стороны «пиратов</w:t>
      </w:r>
      <w:r>
        <w:rPr>
          <w:rStyle w:val="normaltextrun"/>
          <w:b/>
          <w:bCs/>
          <w:sz w:val="28"/>
          <w:szCs w:val="28"/>
        </w:rPr>
        <w:t>»</w:t>
      </w:r>
      <w:r>
        <w:rPr>
          <w:rStyle w:val="normaltextrun"/>
          <w:sz w:val="28"/>
          <w:szCs w:val="28"/>
        </w:rPr>
        <w:t>. Последние (пираты), не вложив ни копейки в разработки, заведомо получают конкурентные преимущества перед разработчиками, которым надо за счет рынка вернуть деньги, вложенные в разработку. Сделать это не легко, при нынешнем уровне пиратства более 80%).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2. </w:t>
      </w:r>
      <w:r>
        <w:rPr>
          <w:rStyle w:val="normaltextrun"/>
          <w:b/>
          <w:bCs/>
          <w:sz w:val="28"/>
          <w:szCs w:val="28"/>
        </w:rPr>
        <w:t>При</w:t>
      </w:r>
      <w:r w:rsidR="00421401">
        <w:rPr>
          <w:rStyle w:val="normaltextrun"/>
          <w:b/>
          <w:bCs/>
          <w:sz w:val="28"/>
          <w:szCs w:val="28"/>
        </w:rPr>
        <w:t xml:space="preserve"> </w:t>
      </w:r>
      <w:r>
        <w:rPr>
          <w:rStyle w:val="normaltextrun"/>
          <w:b/>
          <w:bCs/>
          <w:sz w:val="28"/>
          <w:szCs w:val="28"/>
        </w:rPr>
        <w:t>выборе процедуры зарубежного </w:t>
      </w:r>
      <w:r w:rsidR="00421401">
        <w:rPr>
          <w:rStyle w:val="contextualspellingandgrammarerror"/>
          <w:b/>
          <w:bCs/>
          <w:sz w:val="28"/>
          <w:szCs w:val="28"/>
        </w:rPr>
        <w:t>патентования</w:t>
      </w:r>
      <w:r w:rsidR="00421401">
        <w:rPr>
          <w:rStyle w:val="contextualspellingandgrammarerror"/>
          <w:sz w:val="28"/>
          <w:szCs w:val="28"/>
        </w:rPr>
        <w:t> следует</w:t>
      </w:r>
      <w:r>
        <w:rPr>
          <w:rStyle w:val="normaltextrun"/>
          <w:sz w:val="28"/>
          <w:szCs w:val="28"/>
        </w:rPr>
        <w:t> учитывать, что стоимость зарубежных патентов достаточно велика – 30-50 тыс. $. Экономически это целесообразно </w:t>
      </w:r>
      <w:r>
        <w:rPr>
          <w:rStyle w:val="contextualspellingandgrammarerror"/>
          <w:sz w:val="28"/>
          <w:szCs w:val="28"/>
        </w:rPr>
        <w:t>делать  только</w:t>
      </w:r>
      <w:r>
        <w:rPr>
          <w:rStyle w:val="normaltextrun"/>
          <w:sz w:val="28"/>
          <w:szCs w:val="28"/>
        </w:rPr>
        <w:t>  в том случае, когда имеется продукция, готовая к выходу на зарубежный рынок.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3. </w:t>
      </w:r>
      <w:r>
        <w:rPr>
          <w:rStyle w:val="normaltextrun"/>
          <w:b/>
          <w:bCs/>
          <w:sz w:val="28"/>
          <w:szCs w:val="28"/>
        </w:rPr>
        <w:t>Выбран режим секрета производства</w:t>
      </w:r>
      <w:r>
        <w:rPr>
          <w:rStyle w:val="normaltextrun"/>
          <w:sz w:val="28"/>
          <w:szCs w:val="28"/>
        </w:rPr>
        <w:t>. В стране появились фирмы, которые, используя запатентованные инновационные решения, создают дешевые подделки. Поэтому </w:t>
      </w:r>
      <w:r>
        <w:rPr>
          <w:rStyle w:val="normaltextrun"/>
          <w:sz w:val="28"/>
          <w:szCs w:val="28"/>
          <w:u w:val="single"/>
        </w:rPr>
        <w:t>для защиты секретов производства все больше начинают применять режим коммерческой тайны (ноу-хау</w:t>
      </w:r>
      <w:r>
        <w:rPr>
          <w:rStyle w:val="normaltextrun"/>
          <w:sz w:val="28"/>
          <w:szCs w:val="28"/>
        </w:rPr>
        <w:t>).  А российские </w:t>
      </w:r>
      <w:r>
        <w:rPr>
          <w:rStyle w:val="contextualspellingandgrammarerror"/>
          <w:sz w:val="28"/>
          <w:szCs w:val="28"/>
        </w:rPr>
        <w:t>патенты  переходят</w:t>
      </w:r>
      <w:r>
        <w:rPr>
          <w:rStyle w:val="normaltextrun"/>
          <w:sz w:val="28"/>
          <w:szCs w:val="28"/>
        </w:rPr>
        <w:t> в разряд документов, лишь свидетельствующих об амбициозности, успешности и творческой активности их обладателей.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Правовая охрана в режиме секрета производства обладает рядом</w:t>
      </w:r>
      <w:r>
        <w:rPr>
          <w:rStyle w:val="normaltextrun"/>
          <w:b/>
          <w:bCs/>
          <w:sz w:val="28"/>
          <w:szCs w:val="28"/>
        </w:rPr>
        <w:t> </w:t>
      </w:r>
      <w:r>
        <w:rPr>
          <w:rStyle w:val="normaltextrun"/>
          <w:sz w:val="28"/>
          <w:szCs w:val="28"/>
        </w:rPr>
        <w:t>преимуществ по сравнению с другими формами защиты: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42"/>
        </w:numPr>
        <w:spacing w:before="0" w:beforeAutospacing="0" w:after="0" w:afterAutospacing="0" w:line="360" w:lineRule="auto"/>
        <w:ind w:left="0" w:firstLine="709"/>
        <w:jc w:val="both"/>
        <w:textAlignment w:val="baseline"/>
      </w:pPr>
      <w:r>
        <w:rPr>
          <w:rStyle w:val="normaltextrun"/>
          <w:sz w:val="28"/>
          <w:szCs w:val="28"/>
        </w:rPr>
        <w:t>Это отсутствие требований об обязательной регистрации в Роспатенте.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43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Неограниченность срока охраны.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44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contextualspellingandgrammarerror"/>
          <w:sz w:val="28"/>
          <w:szCs w:val="28"/>
        </w:rPr>
        <w:t>Оперативность получения статуса</w:t>
      </w:r>
      <w:r>
        <w:rPr>
          <w:rStyle w:val="normaltextrun"/>
          <w:sz w:val="28"/>
          <w:szCs w:val="28"/>
        </w:rPr>
        <w:t> охраняемого РИД.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45"/>
        </w:numPr>
        <w:spacing w:before="0" w:beforeAutospacing="0" w:after="0" w:afterAutospacing="0" w:line="360" w:lineRule="auto"/>
        <w:ind w:left="0" w:firstLine="709"/>
        <w:jc w:val="both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lastRenderedPageBreak/>
        <w:t>Универсальность объектов охраны.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numPr>
          <w:ilvl w:val="0"/>
          <w:numId w:val="46"/>
        </w:numPr>
        <w:spacing w:before="0" w:beforeAutospacing="0" w:after="0" w:afterAutospacing="0" w:line="360" w:lineRule="auto"/>
        <w:ind w:left="0" w:firstLine="709"/>
        <w:jc w:val="both"/>
        <w:textAlignment w:val="baseline"/>
      </w:pPr>
      <w:r>
        <w:rPr>
          <w:rStyle w:val="normaltextrun"/>
          <w:sz w:val="28"/>
          <w:szCs w:val="28"/>
        </w:rPr>
        <w:t>Отсутствие необходимости уплаты пошлины и обнародования сущности охраняемого результата.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Эти преимущества усиливают роль ноу-хау в условиях рынка. Поэтому многие организации вместо патентования принадлежащих им изобретений прибегают к этой форме охраны. (Обратит</w:t>
      </w:r>
      <w:r w:rsidR="007416E2">
        <w:rPr>
          <w:rStyle w:val="normaltextrun"/>
          <w:sz w:val="28"/>
          <w:szCs w:val="28"/>
        </w:rPr>
        <w:t>е</w:t>
      </w:r>
      <w:r>
        <w:rPr>
          <w:rStyle w:val="normaltextrun"/>
          <w:sz w:val="28"/>
          <w:szCs w:val="28"/>
        </w:rPr>
        <w:t xml:space="preserve"> внимание, что одним из основных признаков ноу-хау является элемент </w:t>
      </w:r>
      <w:r>
        <w:rPr>
          <w:rStyle w:val="normaltextrun"/>
          <w:b/>
          <w:bCs/>
          <w:sz w:val="28"/>
          <w:szCs w:val="28"/>
        </w:rPr>
        <w:t>конфиденциальности </w:t>
      </w:r>
      <w:r>
        <w:rPr>
          <w:rStyle w:val="normaltextrun"/>
          <w:sz w:val="28"/>
          <w:szCs w:val="28"/>
        </w:rPr>
        <w:t>передаваемой информации).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В РФ официальная регистрация ноу-хау не производится (Роспатент и не начинал регистрацию ноу-хау).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Несанкционированная же передача ноу-хау за границу происходила и происходит уже ни одно столетие (с середины ХУ111 века), со времен Екатерины Второй.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Так директор Петербургской академии наук Е.Р. Дашкова </w:t>
      </w:r>
      <w:r>
        <w:rPr>
          <w:rStyle w:val="contextualspellingandgrammarerror"/>
          <w:sz w:val="28"/>
          <w:szCs w:val="28"/>
        </w:rPr>
        <w:t>писала  в</w:t>
      </w:r>
      <w:r>
        <w:rPr>
          <w:rStyle w:val="normaltextrun"/>
          <w:sz w:val="28"/>
          <w:szCs w:val="28"/>
        </w:rPr>
        <w:t> своем распоряжении от 1783 года.  «Наблюдения и открытия, производимые внутри страны, сообщались за границу до их опубликования в России, и, к стыду Академии, там пользовались ими раньше, </w:t>
      </w:r>
      <w:r>
        <w:rPr>
          <w:rStyle w:val="contextualspellingandgrammarerror"/>
          <w:sz w:val="28"/>
          <w:szCs w:val="28"/>
        </w:rPr>
        <w:t>нежели  у</w:t>
      </w:r>
      <w:r>
        <w:rPr>
          <w:rStyle w:val="normaltextrun"/>
          <w:sz w:val="28"/>
          <w:szCs w:val="28"/>
        </w:rPr>
        <w:t> нас. Я, Екатерина Дашкова, велела занести в журнал, что господа академики не должны отныне сообщать подобные </w:t>
      </w:r>
      <w:r>
        <w:rPr>
          <w:rStyle w:val="contextualspellingandgrammarerror"/>
          <w:sz w:val="28"/>
          <w:szCs w:val="28"/>
        </w:rPr>
        <w:t>открытия  за</w:t>
      </w:r>
      <w:r>
        <w:rPr>
          <w:rStyle w:val="normaltextrun"/>
          <w:sz w:val="28"/>
          <w:szCs w:val="28"/>
        </w:rPr>
        <w:t> границу, пока Академия  не извлекла из них славу для себя путем печати, и пока Государство Российское не воспользовалось ими». </w:t>
      </w: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130027" w:rsidRDefault="00130027" w:rsidP="00421401">
      <w:pPr>
        <w:pStyle w:val="paragraph"/>
        <w:spacing w:before="0" w:beforeAutospacing="0" w:after="0" w:afterAutospacing="0" w:line="360" w:lineRule="auto"/>
        <w:ind w:firstLine="709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p w:rsidR="00AE0D1E" w:rsidRPr="003C5E8A" w:rsidRDefault="00130027" w:rsidP="003C5E8A">
      <w:pPr>
        <w:pStyle w:val="paragraph"/>
        <w:spacing w:before="0" w:beforeAutospacing="0" w:after="0" w:afterAutospacing="0"/>
        <w:ind w:firstLine="705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sz w:val="28"/>
          <w:szCs w:val="28"/>
        </w:rPr>
        <w:t> </w:t>
      </w:r>
    </w:p>
    <w:sectPr w:rsidR="00AE0D1E" w:rsidRPr="003C5E8A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132E" w:rsidRDefault="0046132E" w:rsidP="00474CA3">
      <w:pPr>
        <w:spacing w:after="0" w:line="240" w:lineRule="auto"/>
      </w:pPr>
      <w:r>
        <w:separator/>
      </w:r>
    </w:p>
  </w:endnote>
  <w:endnote w:type="continuationSeparator" w:id="0">
    <w:p w:rsidR="0046132E" w:rsidRDefault="0046132E" w:rsidP="0047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38908066"/>
      <w:docPartObj>
        <w:docPartGallery w:val="Page Numbers (Bottom of Page)"/>
        <w:docPartUnique/>
      </w:docPartObj>
    </w:sdtPr>
    <w:sdtEndPr/>
    <w:sdtContent>
      <w:p w:rsidR="00474CA3" w:rsidRDefault="00474CA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53C5">
          <w:rPr>
            <w:noProof/>
          </w:rPr>
          <w:t>1</w:t>
        </w:r>
        <w:r>
          <w:fldChar w:fldCharType="end"/>
        </w:r>
      </w:p>
    </w:sdtContent>
  </w:sdt>
  <w:p w:rsidR="00474CA3" w:rsidRDefault="00474CA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132E" w:rsidRDefault="0046132E" w:rsidP="00474CA3">
      <w:pPr>
        <w:spacing w:after="0" w:line="240" w:lineRule="auto"/>
      </w:pPr>
      <w:r>
        <w:separator/>
      </w:r>
    </w:p>
  </w:footnote>
  <w:footnote w:type="continuationSeparator" w:id="0">
    <w:p w:rsidR="0046132E" w:rsidRDefault="0046132E" w:rsidP="00474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51A"/>
    <w:multiLevelType w:val="multilevel"/>
    <w:tmpl w:val="B574C3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5A63B4"/>
    <w:multiLevelType w:val="multilevel"/>
    <w:tmpl w:val="74E049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6227C7"/>
    <w:multiLevelType w:val="multilevel"/>
    <w:tmpl w:val="5AA85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F82979"/>
    <w:multiLevelType w:val="multilevel"/>
    <w:tmpl w:val="8F88EF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FD70A5"/>
    <w:multiLevelType w:val="multilevel"/>
    <w:tmpl w:val="8D06A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9B2082"/>
    <w:multiLevelType w:val="multilevel"/>
    <w:tmpl w:val="CB6475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28210E"/>
    <w:multiLevelType w:val="multilevel"/>
    <w:tmpl w:val="A232F5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BE748AA"/>
    <w:multiLevelType w:val="multilevel"/>
    <w:tmpl w:val="BD72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CD3D31"/>
    <w:multiLevelType w:val="multilevel"/>
    <w:tmpl w:val="9BE65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AA5C88"/>
    <w:multiLevelType w:val="multilevel"/>
    <w:tmpl w:val="45F8B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5F92F56"/>
    <w:multiLevelType w:val="multilevel"/>
    <w:tmpl w:val="7F1CEA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A4E5116"/>
    <w:multiLevelType w:val="multilevel"/>
    <w:tmpl w:val="11AE83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6414AE"/>
    <w:multiLevelType w:val="multilevel"/>
    <w:tmpl w:val="FB581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C564C23"/>
    <w:multiLevelType w:val="multilevel"/>
    <w:tmpl w:val="338E15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1D8226F"/>
    <w:multiLevelType w:val="multilevel"/>
    <w:tmpl w:val="4C9A23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23E6BB0"/>
    <w:multiLevelType w:val="hybridMultilevel"/>
    <w:tmpl w:val="98FA24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C796B"/>
    <w:multiLevelType w:val="multilevel"/>
    <w:tmpl w:val="BCE64C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580903"/>
    <w:multiLevelType w:val="multilevel"/>
    <w:tmpl w:val="D4183F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B9947FF"/>
    <w:multiLevelType w:val="multilevel"/>
    <w:tmpl w:val="8CDC4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CAC789D"/>
    <w:multiLevelType w:val="multilevel"/>
    <w:tmpl w:val="EF12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DFC6976"/>
    <w:multiLevelType w:val="multilevel"/>
    <w:tmpl w:val="4CCC8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0CA6F03"/>
    <w:multiLevelType w:val="multilevel"/>
    <w:tmpl w:val="2C123C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7B4850"/>
    <w:multiLevelType w:val="multilevel"/>
    <w:tmpl w:val="DCCE7C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A5E5C5C"/>
    <w:multiLevelType w:val="multilevel"/>
    <w:tmpl w:val="13502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AA75BFE"/>
    <w:multiLevelType w:val="multilevel"/>
    <w:tmpl w:val="F4BC6D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C00A22"/>
    <w:multiLevelType w:val="multilevel"/>
    <w:tmpl w:val="E042F0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6C2F1B"/>
    <w:multiLevelType w:val="multilevel"/>
    <w:tmpl w:val="942847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5A515BB"/>
    <w:multiLevelType w:val="multilevel"/>
    <w:tmpl w:val="DA3CC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0432C4"/>
    <w:multiLevelType w:val="hybridMultilevel"/>
    <w:tmpl w:val="0316AC9E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47554227"/>
    <w:multiLevelType w:val="multilevel"/>
    <w:tmpl w:val="0C5C6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8483100"/>
    <w:multiLevelType w:val="multilevel"/>
    <w:tmpl w:val="FE6ABD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97851FB"/>
    <w:multiLevelType w:val="multilevel"/>
    <w:tmpl w:val="8DE616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F5D57DE"/>
    <w:multiLevelType w:val="multilevel"/>
    <w:tmpl w:val="6276DE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4BE4666"/>
    <w:multiLevelType w:val="multilevel"/>
    <w:tmpl w:val="FACC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54925AA"/>
    <w:multiLevelType w:val="multilevel"/>
    <w:tmpl w:val="43E4DA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5EF7AA8"/>
    <w:multiLevelType w:val="multilevel"/>
    <w:tmpl w:val="C86EAF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8D82F62"/>
    <w:multiLevelType w:val="multilevel"/>
    <w:tmpl w:val="E75063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0932809"/>
    <w:multiLevelType w:val="multilevel"/>
    <w:tmpl w:val="52D08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0E03E2C"/>
    <w:multiLevelType w:val="multilevel"/>
    <w:tmpl w:val="97AE94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1CF1269"/>
    <w:multiLevelType w:val="multilevel"/>
    <w:tmpl w:val="EDD82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45D1D70"/>
    <w:multiLevelType w:val="multilevel"/>
    <w:tmpl w:val="2E865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7123CB"/>
    <w:multiLevelType w:val="multilevel"/>
    <w:tmpl w:val="D728B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3255E0"/>
    <w:multiLevelType w:val="multilevel"/>
    <w:tmpl w:val="63F29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26E3A65"/>
    <w:multiLevelType w:val="multilevel"/>
    <w:tmpl w:val="C91A71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BE72B1B"/>
    <w:multiLevelType w:val="multilevel"/>
    <w:tmpl w:val="E034C3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D6B4EAF"/>
    <w:multiLevelType w:val="multilevel"/>
    <w:tmpl w:val="99C00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E986EE0"/>
    <w:multiLevelType w:val="multilevel"/>
    <w:tmpl w:val="B08210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6D3BE7"/>
    <w:multiLevelType w:val="multilevel"/>
    <w:tmpl w:val="BA3E66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7"/>
  </w:num>
  <w:num w:numId="3">
    <w:abstractNumId w:val="3"/>
  </w:num>
  <w:num w:numId="4">
    <w:abstractNumId w:val="6"/>
  </w:num>
  <w:num w:numId="5">
    <w:abstractNumId w:val="33"/>
  </w:num>
  <w:num w:numId="6">
    <w:abstractNumId w:val="7"/>
  </w:num>
  <w:num w:numId="7">
    <w:abstractNumId w:val="43"/>
  </w:num>
  <w:num w:numId="8">
    <w:abstractNumId w:val="31"/>
  </w:num>
  <w:num w:numId="9">
    <w:abstractNumId w:val="26"/>
  </w:num>
  <w:num w:numId="10">
    <w:abstractNumId w:val="24"/>
  </w:num>
  <w:num w:numId="11">
    <w:abstractNumId w:val="37"/>
  </w:num>
  <w:num w:numId="12">
    <w:abstractNumId w:val="41"/>
  </w:num>
  <w:num w:numId="13">
    <w:abstractNumId w:val="10"/>
  </w:num>
  <w:num w:numId="14">
    <w:abstractNumId w:val="13"/>
  </w:num>
  <w:num w:numId="15">
    <w:abstractNumId w:val="25"/>
  </w:num>
  <w:num w:numId="16">
    <w:abstractNumId w:val="39"/>
  </w:num>
  <w:num w:numId="17">
    <w:abstractNumId w:val="36"/>
  </w:num>
  <w:num w:numId="18">
    <w:abstractNumId w:val="5"/>
  </w:num>
  <w:num w:numId="19">
    <w:abstractNumId w:val="11"/>
  </w:num>
  <w:num w:numId="20">
    <w:abstractNumId w:val="18"/>
  </w:num>
  <w:num w:numId="21">
    <w:abstractNumId w:val="30"/>
  </w:num>
  <w:num w:numId="22">
    <w:abstractNumId w:val="21"/>
  </w:num>
  <w:num w:numId="23">
    <w:abstractNumId w:val="27"/>
  </w:num>
  <w:num w:numId="24">
    <w:abstractNumId w:val="0"/>
  </w:num>
  <w:num w:numId="25">
    <w:abstractNumId w:val="34"/>
  </w:num>
  <w:num w:numId="26">
    <w:abstractNumId w:val="20"/>
  </w:num>
  <w:num w:numId="27">
    <w:abstractNumId w:val="12"/>
  </w:num>
  <w:num w:numId="28">
    <w:abstractNumId w:val="38"/>
  </w:num>
  <w:num w:numId="29">
    <w:abstractNumId w:val="29"/>
  </w:num>
  <w:num w:numId="30">
    <w:abstractNumId w:val="46"/>
  </w:num>
  <w:num w:numId="31">
    <w:abstractNumId w:val="40"/>
  </w:num>
  <w:num w:numId="32">
    <w:abstractNumId w:val="42"/>
  </w:num>
  <w:num w:numId="33">
    <w:abstractNumId w:val="23"/>
  </w:num>
  <w:num w:numId="34">
    <w:abstractNumId w:val="9"/>
  </w:num>
  <w:num w:numId="35">
    <w:abstractNumId w:val="4"/>
  </w:num>
  <w:num w:numId="36">
    <w:abstractNumId w:val="16"/>
  </w:num>
  <w:num w:numId="37">
    <w:abstractNumId w:val="14"/>
  </w:num>
  <w:num w:numId="38">
    <w:abstractNumId w:val="1"/>
  </w:num>
  <w:num w:numId="39">
    <w:abstractNumId w:val="19"/>
  </w:num>
  <w:num w:numId="40">
    <w:abstractNumId w:val="8"/>
  </w:num>
  <w:num w:numId="41">
    <w:abstractNumId w:val="22"/>
  </w:num>
  <w:num w:numId="42">
    <w:abstractNumId w:val="45"/>
  </w:num>
  <w:num w:numId="43">
    <w:abstractNumId w:val="44"/>
  </w:num>
  <w:num w:numId="44">
    <w:abstractNumId w:val="17"/>
  </w:num>
  <w:num w:numId="45">
    <w:abstractNumId w:val="32"/>
  </w:num>
  <w:num w:numId="46">
    <w:abstractNumId w:val="35"/>
  </w:num>
  <w:num w:numId="47">
    <w:abstractNumId w:val="28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4D98"/>
    <w:rsid w:val="001231BD"/>
    <w:rsid w:val="00130027"/>
    <w:rsid w:val="002571AB"/>
    <w:rsid w:val="002B6510"/>
    <w:rsid w:val="003C33D8"/>
    <w:rsid w:val="003C5E8A"/>
    <w:rsid w:val="00421401"/>
    <w:rsid w:val="0046132E"/>
    <w:rsid w:val="00474CA3"/>
    <w:rsid w:val="00544D98"/>
    <w:rsid w:val="006C1F0D"/>
    <w:rsid w:val="007416E2"/>
    <w:rsid w:val="00921B64"/>
    <w:rsid w:val="009C68F2"/>
    <w:rsid w:val="00A83B31"/>
    <w:rsid w:val="00AC5C67"/>
    <w:rsid w:val="00AD53C5"/>
    <w:rsid w:val="00AE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EEDD8"/>
  <w15:docId w15:val="{B7873217-0FDC-4560-A629-DCF5D4E28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30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30027"/>
  </w:style>
  <w:style w:type="character" w:customStyle="1" w:styleId="eop">
    <w:name w:val="eop"/>
    <w:basedOn w:val="a0"/>
    <w:rsid w:val="00130027"/>
  </w:style>
  <w:style w:type="character" w:customStyle="1" w:styleId="pagebreaktextspan">
    <w:name w:val="pagebreaktextspan"/>
    <w:basedOn w:val="a0"/>
    <w:rsid w:val="00130027"/>
  </w:style>
  <w:style w:type="character" w:customStyle="1" w:styleId="contextualspellingandgrammarerror">
    <w:name w:val="contextualspellingandgrammarerror"/>
    <w:basedOn w:val="a0"/>
    <w:rsid w:val="00130027"/>
  </w:style>
  <w:style w:type="character" w:customStyle="1" w:styleId="spellingerror">
    <w:name w:val="spellingerror"/>
    <w:basedOn w:val="a0"/>
    <w:rsid w:val="00130027"/>
  </w:style>
  <w:style w:type="paragraph" w:styleId="a3">
    <w:name w:val="header"/>
    <w:basedOn w:val="a"/>
    <w:link w:val="a4"/>
    <w:uiPriority w:val="99"/>
    <w:unhideWhenUsed/>
    <w:rsid w:val="00474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4CA3"/>
  </w:style>
  <w:style w:type="paragraph" w:styleId="a5">
    <w:name w:val="footer"/>
    <w:basedOn w:val="a"/>
    <w:link w:val="a6"/>
    <w:uiPriority w:val="99"/>
    <w:unhideWhenUsed/>
    <w:rsid w:val="00474C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4CA3"/>
  </w:style>
  <w:style w:type="paragraph" w:styleId="a7">
    <w:name w:val="List Paragraph"/>
    <w:basedOn w:val="a"/>
    <w:uiPriority w:val="34"/>
    <w:qFormat/>
    <w:rsid w:val="003C33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31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4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04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11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58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4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50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0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08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7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44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82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9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9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79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67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09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8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18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1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9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1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9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93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0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8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7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74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05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1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27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1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0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4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3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8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2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5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7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96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4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8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19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1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9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7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1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5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2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7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2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4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79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0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50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8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5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68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2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1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57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25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36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52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1898</Words>
  <Characters>10823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</dc:creator>
  <cp:keywords/>
  <dc:description/>
  <cp:lastModifiedBy>Семенов</cp:lastModifiedBy>
  <cp:revision>10</cp:revision>
  <dcterms:created xsi:type="dcterms:W3CDTF">2020-04-16T15:53:00Z</dcterms:created>
  <dcterms:modified xsi:type="dcterms:W3CDTF">2021-04-21T08:49:00Z</dcterms:modified>
</cp:coreProperties>
</file>